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jc w:val="center"/>
        <w:rPr>
          <w:rFonts w:ascii="Calibri" w:cs="Calibri" w:eastAsia="Calibri" w:hAnsi="Calibri"/>
          <w:b w:val="1"/>
          <w:bCs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rtl w:val="0"/>
        </w:rPr>
        <w:t xml:space="preserve">EDITAL DE CHAMAMENTO PÚBLICO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u w:val="single"/>
          <w:rtl w:val="0"/>
        </w:rPr>
        <w:t xml:space="preserve">03/2026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02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REDE </w:t>
      </w:r>
      <w:r w:rsidDel="00000000" w:rsidR="00000000" w:rsidRPr="00000000">
        <w:rPr>
          <w:rFonts w:ascii="Calibri" w:cs="Calibri" w:eastAsia="Calibri" w:hAnsi="Calibri"/>
          <w:b w:val="1"/>
          <w:bCs w:val="1"/>
          <w:u w:val="single"/>
          <w:rtl w:val="0"/>
        </w:rPr>
        <w:t xml:space="preserve">MUNICIPAL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DE PONTOS E PONTÕES DE CULTURA DE GLÓRIA DO GOITÁ-PE</w:t>
      </w:r>
    </w:p>
    <w:p w:rsidR="00000000" w:rsidDel="00000000" w:rsidP="00000000" w:rsidRDefault="00000000" w:rsidRPr="00000000" w14:paraId="00000004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CULTURA VIVA DO TAMANHO DO BRASIL!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006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PREMIAÇÃO DE PONTOS E PONTÕES DE CULTURA</w:t>
      </w:r>
    </w:p>
    <w:p w:rsidR="00000000" w:rsidDel="00000000" w:rsidP="00000000" w:rsidRDefault="00000000" w:rsidRPr="00000000" w14:paraId="00000007">
      <w:pPr>
        <w:shd w:fill="ffffff" w:val="clear"/>
        <w:spacing w:line="240" w:lineRule="auto"/>
        <w:jc w:val="center"/>
        <w:rPr>
          <w:rFonts w:ascii="Calibri" w:cs="Calibri" w:eastAsia="Calibri" w:hAnsi="Calibri"/>
          <w:sz w:val="6"/>
          <w:szCs w:val="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tabs>
          <w:tab w:val="center" w:leader="none" w:pos="0"/>
        </w:tabs>
        <w:spacing w:after="120" w:before="120" w:line="240" w:lineRule="auto"/>
        <w:jc w:val="center"/>
        <w:rPr>
          <w:rFonts w:ascii="Calibri" w:cs="Calibri" w:eastAsia="Calibri" w:hAnsi="Calibri"/>
          <w:b w:val="1"/>
          <w:bCs w:val="1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u w:val="single"/>
          <w:rtl w:val="0"/>
        </w:rPr>
        <w:t xml:space="preserve">ANEXO 02 - CRITÉRIOS DE AVALIAÇÃO DA ETAPA DE SELEÇÃO</w:t>
      </w:r>
    </w:p>
    <w:p w:rsidR="00000000" w:rsidDel="00000000" w:rsidP="00000000" w:rsidRDefault="00000000" w:rsidRPr="00000000" w14:paraId="00000009">
      <w:pPr>
        <w:tabs>
          <w:tab w:val="center" w:leader="none" w:pos="0"/>
        </w:tabs>
        <w:spacing w:after="120" w:line="240" w:lineRule="auto"/>
        <w:jc w:val="both"/>
        <w:rPr>
          <w:rFonts w:ascii="Calibri" w:cs="Calibri" w:eastAsia="Calibri" w:hAnsi="Calibri"/>
          <w:b w:val="1"/>
          <w:bCs w:val="1"/>
          <w:highlight w:val="magenta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Bloco 1: Avaliação da atuação da entidade ou coletivo cultural</w:t>
      </w:r>
      <w:r w:rsidDel="00000000" w:rsidR="00000000" w:rsidRPr="00000000">
        <w:rPr>
          <w:rtl w:val="0"/>
        </w:rPr>
      </w:r>
    </w:p>
    <w:tbl>
      <w:tblPr>
        <w:tblStyle w:val="Table1"/>
        <w:tblW w:w="1396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35"/>
        <w:gridCol w:w="8265"/>
        <w:gridCol w:w="915"/>
        <w:gridCol w:w="1395"/>
        <w:gridCol w:w="1455"/>
        <w:gridCol w:w="1500"/>
        <w:tblGridChange w:id="0">
          <w:tblGrid>
            <w:gridCol w:w="435"/>
            <w:gridCol w:w="8265"/>
            <w:gridCol w:w="915"/>
            <w:gridCol w:w="1395"/>
            <w:gridCol w:w="1455"/>
            <w:gridCol w:w="1500"/>
          </w:tblGrid>
        </w:tblGridChange>
      </w:tblGrid>
      <w:tr>
        <w:trPr>
          <w:cantSplit w:val="0"/>
          <w:trHeight w:val="55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A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B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C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DISTRIBUIÇÃO DOS PONTOS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PONTUAÇÃO MÁXIMA NO ITEM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9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widowControl w:val="0"/>
              <w:jc w:val="both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A partir do portfólio, do formulário de inscrição e demais materiais enviados, e considerando os objetivos de Pontos de Cultura definidos na Lei que institui a Política Nacional de Cultura Viva (Lei nº 13.018/2014, art. 6º, I), analisar se a entidade ou coletivo cultural atende aos seguintes critérios: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Não Atende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Atende Parcialmente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Atende Plenamente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100 pontos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widowControl w:val="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a)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widowControl w:val="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Promove a criação e a produção artística e cultural.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</w:t>
            </w:r>
          </w:p>
        </w:tc>
        <w:tc>
          <w:tcPr>
            <w:vMerge w:val="continue"/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widowControl w:val="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d)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widowControl w:val="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Estimula a exploração de espaços públicos e privados para serem disponibilizados para a ação cultural.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</w:t>
            </w:r>
          </w:p>
        </w:tc>
        <w:tc>
          <w:tcPr>
            <w:vMerge w:val="continue"/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widowControl w:val="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f)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widowControl w:val="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Promove a diversidade cultural brasileira, garantindo diálogos interculturais.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</w:t>
            </w:r>
          </w:p>
        </w:tc>
        <w:tc>
          <w:tcPr>
            <w:vMerge w:val="continue"/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widowControl w:val="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h)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widowControl w:val="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Promove a inclusão cultural da população idosa, de mulheres, jovens, pessoas negras, com deficiência, LGBTQIAP+ e/ou de baixa renda, combatendo as desigualdades sociais.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</w:t>
            </w:r>
          </w:p>
        </w:tc>
        <w:tc>
          <w:tcPr>
            <w:vMerge w:val="continue"/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widowControl w:val="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i)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widowControl w:val="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Contribui para o fortalecimento da autonomia social das comunidades.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</w:t>
            </w:r>
          </w:p>
        </w:tc>
        <w:tc>
          <w:tcPr>
            <w:vMerge w:val="continue"/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widowControl w:val="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j)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widowControl w:val="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Promove o intercâmbio entre diferentes segmentos da comunidade.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</w:t>
            </w:r>
          </w:p>
        </w:tc>
        <w:tc>
          <w:tcPr>
            <w:vMerge w:val="continue"/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widowControl w:val="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k)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widowControl w:val="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Estimula a articulação das redes sociais e culturais e dessas com a educação.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</w:t>
            </w:r>
          </w:p>
        </w:tc>
        <w:tc>
          <w:tcPr>
            <w:vMerge w:val="continue"/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widowControl w:val="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l)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Adota princípios de gestão compartilhada entre atores culturais não governamentais e o Estado.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</w:t>
            </w:r>
          </w:p>
        </w:tc>
        <w:tc>
          <w:tcPr>
            <w:vMerge w:val="continue"/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widowControl w:val="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m)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widowControl w:val="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Fomenta as economias solidária e criativa.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</w:t>
            </w:r>
          </w:p>
        </w:tc>
        <w:tc>
          <w:tcPr>
            <w:vMerge w:val="continue"/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widowControl w:val="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n)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widowControl w:val="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Estimula a proteção do patrimônio cultural material, imaterial e promove as memórias comunitárias.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E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0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</w:t>
            </w:r>
          </w:p>
        </w:tc>
        <w:tc>
          <w:tcPr>
            <w:vMerge w:val="continue"/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widowControl w:val="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o)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3">
            <w:pPr>
              <w:widowControl w:val="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Apoia e incentiva manifestações culturais tradicionais e populares.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4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5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6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</w:t>
            </w:r>
          </w:p>
        </w:tc>
        <w:tc>
          <w:tcPr>
            <w:vMerge w:val="continue"/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8">
            <w:pPr>
              <w:widowControl w:val="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p)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Realiza atividades culturais gratuitas e abertas com regularidade na comunidade.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B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</w:t>
            </w:r>
          </w:p>
        </w:tc>
        <w:tc>
          <w:tcPr>
            <w:vMerge w:val="continue"/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E">
            <w:pPr>
              <w:widowControl w:val="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q)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F">
            <w:pPr>
              <w:widowControl w:val="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As ações da organização cultural estão relacionadas aos eixos estruturantes da Política Nacional Cultura Viva, por meio de ações nas áreas de formação, produção e/ou difusão sociocultural de maneira contínua.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</w:t>
            </w:r>
          </w:p>
        </w:tc>
        <w:tc>
          <w:tcPr>
            <w:vMerge w:val="continue"/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4">
            <w:pPr>
              <w:widowControl w:val="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r)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5">
            <w:pPr>
              <w:widowControl w:val="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 entidade possui articulação com outras organizações, compondo Frentes, Redes, Conselhos, Comissões, dentre outros espaços de participação e incidência política em áreas sinérgicas à Política Nacional Cultura Viva.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6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7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</w:t>
            </w:r>
          </w:p>
        </w:tc>
        <w:tc>
          <w:tcPr>
            <w:vMerge w:val="continue"/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A">
      <w:pPr>
        <w:widowControl w:val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widowControl w:val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Para ser certificada, a entidade precisará alcançar a pontuação mínima de 50 (cinquenta) pontos.</w:t>
      </w:r>
    </w:p>
    <w:p w:rsidR="00000000" w:rsidDel="00000000" w:rsidP="00000000" w:rsidRDefault="00000000" w:rsidRPr="00000000" w14:paraId="0000006C">
      <w:pPr>
        <w:tabs>
          <w:tab w:val="center" w:leader="none" w:pos="0"/>
        </w:tabs>
        <w:spacing w:after="120" w:line="240" w:lineRule="auto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tabs>
          <w:tab w:val="center" w:leader="none" w:pos="0"/>
        </w:tabs>
        <w:spacing w:after="0" w:before="0" w:line="240" w:lineRule="auto"/>
        <w:ind w:left="0" w:firstLine="0"/>
        <w:jc w:val="both"/>
        <w:rPr>
          <w:rFonts w:ascii="Calibri" w:cs="Calibri" w:eastAsia="Calibri" w:hAnsi="Calibri"/>
          <w:color w:val="ff0000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1909" w:w="16834" w:orient="landscape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0">
    <w:pPr>
      <w:tabs>
        <w:tab w:val="center" w:leader="none" w:pos="0"/>
      </w:tabs>
      <w:spacing w:line="240" w:lineRule="auto"/>
      <w:ind w:left="1440" w:firstLine="0"/>
      <w:jc w:val="both"/>
      <w:rPr>
        <w:rFonts w:ascii="Calibri" w:cs="Calibri" w:eastAsia="Calibri" w:hAnsi="Calibri"/>
        <w:i w:val="1"/>
        <w:iCs w:val="1"/>
        <w:color w:val="ff0000"/>
        <w:sz w:val="20"/>
        <w:szCs w:val="20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6391275</wp:posOffset>
          </wp:positionH>
          <wp:positionV relativeFrom="paragraph">
            <wp:posOffset>0</wp:posOffset>
          </wp:positionV>
          <wp:extent cx="882015" cy="739140"/>
          <wp:effectExtent b="0" l="0" r="0" t="0"/>
          <wp:wrapNone/>
          <wp:docPr descr="Fundo preto com letras brancas&#10;&#10;O conteúdo gerado por IA pode estar incorreto." id="30" name="image1.png"/>
          <a:graphic>
            <a:graphicData uri="http://schemas.openxmlformats.org/drawingml/2006/picture">
              <pic:pic>
                <pic:nvPicPr>
                  <pic:cNvPr descr="Fundo preto com letras brancas&#10;&#10;O conteúdo gerado por IA pode estar incorreto." id="0" name="image1.png"/>
                  <pic:cNvPicPr preferRelativeResize="0"/>
                </pic:nvPicPr>
                <pic:blipFill>
                  <a:blip r:embed="rId1"/>
                  <a:srcRect b="0" l="64784" r="20738" t="91487"/>
                  <a:stretch>
                    <a:fillRect/>
                  </a:stretch>
                </pic:blipFill>
                <pic:spPr>
                  <a:xfrm>
                    <a:off x="0" y="0"/>
                    <a:ext cx="882015" cy="73914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1028700</wp:posOffset>
          </wp:positionH>
          <wp:positionV relativeFrom="paragraph">
            <wp:posOffset>114300</wp:posOffset>
          </wp:positionV>
          <wp:extent cx="2438400" cy="691299"/>
          <wp:effectExtent b="0" l="0" r="0" t="0"/>
          <wp:wrapNone/>
          <wp:docPr id="34" name="image5.png"/>
          <a:graphic>
            <a:graphicData uri="http://schemas.openxmlformats.org/drawingml/2006/picture">
              <pic:pic>
                <pic:nvPicPr>
                  <pic:cNvPr id="0" name="image5.png"/>
                  <pic:cNvPicPr preferRelativeResize="0"/>
                </pic:nvPicPr>
                <pic:blipFill>
                  <a:blip r:embed="rId2"/>
                  <a:srcRect b="23507" l="0" r="0" t="25611"/>
                  <a:stretch>
                    <a:fillRect/>
                  </a:stretch>
                </pic:blipFill>
                <pic:spPr>
                  <a:xfrm>
                    <a:off x="0" y="0"/>
                    <a:ext cx="2438400" cy="691299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4638675</wp:posOffset>
          </wp:positionH>
          <wp:positionV relativeFrom="paragraph">
            <wp:posOffset>121912</wp:posOffset>
          </wp:positionV>
          <wp:extent cx="723066" cy="509001"/>
          <wp:effectExtent b="0" l="0" r="0" t="0"/>
          <wp:wrapNone/>
          <wp:docPr descr="Logotipo&#10;&#10;O conteúdo gerado por IA pode estar incorreto." id="31" name="image3.png"/>
          <a:graphic>
            <a:graphicData uri="http://schemas.openxmlformats.org/drawingml/2006/picture">
              <pic:pic>
                <pic:nvPicPr>
                  <pic:cNvPr descr="Logotipo&#10;&#10;O conteúdo gerado por IA pode estar incorreto." id="0" name="image3.png"/>
                  <pic:cNvPicPr preferRelativeResize="0"/>
                </pic:nvPicPr>
                <pic:blipFill>
                  <a:blip r:embed="rId3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23066" cy="509001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-609595</wp:posOffset>
          </wp:positionH>
          <wp:positionV relativeFrom="paragraph">
            <wp:posOffset>64761</wp:posOffset>
          </wp:positionV>
          <wp:extent cx="1201567" cy="624078"/>
          <wp:effectExtent b="0" l="0" r="0" t="0"/>
          <wp:wrapNone/>
          <wp:docPr descr="Logotipo&#10;&#10;O conteúdo gerado por IA pode estar incorreto." id="29" name="image6.png"/>
          <a:graphic>
            <a:graphicData uri="http://schemas.openxmlformats.org/drawingml/2006/picture">
              <pic:pic>
                <pic:nvPicPr>
                  <pic:cNvPr descr="Logotipo&#10;&#10;O conteúdo gerado por IA pode estar incorreto." id="0" name="image6.png"/>
                  <pic:cNvPicPr preferRelativeResize="0"/>
                </pic:nvPicPr>
                <pic:blipFill>
                  <a:blip r:embed="rId4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201567" cy="624078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8420100</wp:posOffset>
          </wp:positionH>
          <wp:positionV relativeFrom="paragraph">
            <wp:posOffset>57866</wp:posOffset>
          </wp:positionV>
          <wp:extent cx="1153265" cy="681903"/>
          <wp:effectExtent b="0" l="0" r="0" t="0"/>
          <wp:wrapNone/>
          <wp:docPr descr="Logotipo&#10;&#10;O conteúdo gerado por IA pode estar incorreto." id="32" name="image2.png"/>
          <a:graphic>
            <a:graphicData uri="http://schemas.openxmlformats.org/drawingml/2006/picture">
              <pic:pic>
                <pic:nvPicPr>
                  <pic:cNvPr descr="Logotipo&#10;&#10;O conteúdo gerado por IA pode estar incorreto." id="0" name="image2.png"/>
                  <pic:cNvPicPr preferRelativeResize="0"/>
                </pic:nvPicPr>
                <pic:blipFill>
                  <a:blip r:embed="rId5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153265" cy="681903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71">
    <w:pPr>
      <w:rPr/>
    </w:pPr>
    <w:r w:rsidDel="00000000" w:rsidR="00000000" w:rsidRPr="00000000">
      <w:rPr>
        <w:rtl w:val="0"/>
      </w:rPr>
      <w:t xml:space="preserve">                                                                                                                                                             </w:t>
    </w:r>
  </w:p>
  <w:p w:rsidR="00000000" w:rsidDel="00000000" w:rsidP="00000000" w:rsidRDefault="00000000" w:rsidRPr="00000000" w14:paraId="00000072">
    <w:pPr>
      <w:ind w:left="-850.3937007874016" w:firstLine="0"/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E">
    <w:pPr>
      <w:ind w:left="-992.1259842519685" w:firstLine="0"/>
      <w:jc w:val="both"/>
      <w:rPr/>
    </w:pPr>
    <w:r w:rsidDel="00000000" w:rsidR="00000000" w:rsidRPr="00000000">
      <w:rPr/>
      <w:drawing>
        <wp:inline distB="0" distT="0" distL="0" distR="0">
          <wp:extent cx="1186751" cy="853881"/>
          <wp:effectExtent b="0" l="0" r="0" t="0"/>
          <wp:docPr id="33" name="image4.png"/>
          <a:graphic>
            <a:graphicData uri="http://schemas.openxmlformats.org/drawingml/2006/picture">
              <pic:pic>
                <pic:nvPicPr>
                  <pic:cNvPr id="0" name="image4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186751" cy="853881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F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Normal" w:default="1">
    <w:name w:val="normal"/>
  </w:style>
  <w:style w:type="table" w:styleId="TableNormal" w:default="1">
    <w:name w:val="Table Normal"/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</w:tbl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5.png"/><Relationship Id="rId3" Type="http://schemas.openxmlformats.org/officeDocument/2006/relationships/image" Target="media/image3.png"/><Relationship Id="rId4" Type="http://schemas.openxmlformats.org/officeDocument/2006/relationships/image" Target="media/image6.png"/><Relationship Id="rId5" Type="http://schemas.openxmlformats.org/officeDocument/2006/relationships/image" Target="media/image2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1HfnXCz53E18JzK98sf4ai/4OXA==">CgMxLjA4AHIhMW5Jd3I2c2c5X3hyQjdwOWR5aEJJVFVBMXVJdEdxakhU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